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74" w:lineRule="auto"/>
        <w:ind w:left="1794" w:right="1791" w:firstLine="0"/>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Úplná pravidla akce „Barevné léto s RIO MARE“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7"/>
        </w:tabs>
        <w:spacing w:after="0" w:before="0" w:line="240" w:lineRule="auto"/>
        <w:ind w:left="477" w:right="0" w:hanging="361"/>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Úvodní ustanovení</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6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Účelem tohoto dokumentu je úprava úplných a jasných pravidel marketingové akce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Barevné léto s RIO MARE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(dále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akce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V případě rozporu informací o akci na propagačních materiálech a těmito úplnými pravidly, mají přednost tato úplná pravidla. Organizátor si vyhrazuje právo kdykoli tato pravidla změnit.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numPr>
          <w:ilvl w:val="0"/>
          <w:numId w:val="1"/>
        </w:numPr>
        <w:tabs>
          <w:tab w:val="left" w:leader="none" w:pos="477"/>
        </w:tabs>
        <w:ind w:left="477" w:hanging="36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Pořadatel a organizátor akce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Pořadatelem akce je společnost BOLTON CZECHIA, spol. s r. o., se sídlem Štětkova 1638/18, Nusle, 140 00 Praha 4, IČO: 15526381, zapsaná v obchodním rejstříku vedeném Městským soudem v Praze, oddíl C, vložka 148679 (dále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pořadatel</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Organizátorem akce je společnost EV public relations spol. s r.o., se sídlem Ovenecká 380/47, 17000 Praha 7, IČO: 274 49 793, zapsána v obchodním rejstříku vedeném Městským soudem v Praze, oddíl C, vložka 113816 (dále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organizátor</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numPr>
          <w:ilvl w:val="0"/>
          <w:numId w:val="1"/>
        </w:numPr>
        <w:tabs>
          <w:tab w:val="left" w:leader="none" w:pos="477"/>
        </w:tabs>
        <w:ind w:left="477" w:hanging="36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Doba a místo konání akce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71" w:lineRule="auto"/>
        <w:ind w:left="116" w:right="11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Akce probíhá v termínu od 1. 7. 2025 00:00:00 hodin do 31. 8. 2024 23:59:59 hodin (dále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doba konání akce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Akce probíhá na území České republiky (dále jen „místo konání akce“).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Tato pravidla jsou určena pro účastníky, kteří se zapojí do akce prostřednictvím nákupu na území České republiky a webové stránky </w:t>
      </w:r>
      <w:hyperlink r:id="rId7">
        <w:r w:rsidDel="00000000" w:rsidR="00000000" w:rsidRPr="00000000">
          <w:rPr>
            <w:rFonts w:ascii="Calibri" w:cs="Calibri" w:eastAsia="Calibri" w:hAnsi="Calibri"/>
            <w:b w:val="0"/>
            <w:i w:val="0"/>
            <w:smallCaps w:val="0"/>
            <w:strike w:val="0"/>
            <w:color w:val="0000ff"/>
            <w:sz w:val="23"/>
            <w:szCs w:val="23"/>
            <w:u w:val="single"/>
            <w:shd w:fill="auto" w:val="clear"/>
            <w:vertAlign w:val="baseline"/>
            <w:rtl w:val="0"/>
          </w:rPr>
          <w:t xml:space="preserve">www.riomare.cz/soutez</w:t>
        </w:r>
      </w:hyperlink>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(dále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„akční web“</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numPr>
          <w:ilvl w:val="0"/>
          <w:numId w:val="1"/>
        </w:numPr>
        <w:tabs>
          <w:tab w:val="left" w:leader="none" w:pos="477"/>
        </w:tabs>
        <w:ind w:left="477" w:hanging="36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Účastník akce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6"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Akce se může zúčastnit pouze fyzická osoba – spotřebitel (dále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soutěžící</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nebo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účastník</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 případě kteréhokoliv soutěžícího mladšího 18 let je organizátor oprávněn vyžádat si kdykoliv písemné potvrzení o tom, že takový soutěžící disponuje souhlasem svého zákonného zástupce pro účast v akci, a to v souladu s § 32 zákona č. 89/2012 Sb., občanského zákoníku, ve znění pozdějších předpisů („občanský zákoník“); v případě, že takové potvrzení nebude předloženo v kopii (scanu/fotografii) do 5 dnů od obdržení výzvy, je organizátor oprávněn daného soutěžícího ze soutěže vyloučit; případný nárok takového soutěžícího na výhru tímto okamžikem bez náhrady zaniká.</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Z účasti na akci jsou vyloučeny osoby v pracovním nebo jiném obdobném vztahu k pořadateli, organizátorovi nebo k agenturám pověřeným zajištěním této akce, nebo společnostem, které se na ní zúčastňují odlišným způsobem, a dále osoby jim blízké.</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Akce se nemohou účastnit podnikatelé, velkoobchody ani právnické osoby. Pokud bude doložena účtenka, faktura, ze které bude zřejmé, že akční nákup provedla tato osoba (např. bude uvedeno IČO odběratele), bude takový vstup/účastník z akce vyloučen.</w:t>
      </w:r>
    </w:p>
    <w:p w:rsidR="00000000" w:rsidDel="00000000" w:rsidP="00000000" w:rsidRDefault="00000000" w:rsidRPr="00000000" w14:paraId="00000018">
      <w:pPr>
        <w:pStyle w:val="Heading1"/>
        <w:tabs>
          <w:tab w:val="left" w:leader="none" w:pos="509"/>
          <w:tab w:val="left" w:leader="none" w:pos="510"/>
        </w:tabs>
        <w:spacing w:before="74" w:lineRule="auto"/>
        <w:ind w:firstLine="116"/>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9">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5. Mechanika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Soutěžící se do soutěže zapojí tak, že: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51" w:before="0" w:line="240" w:lineRule="auto"/>
        <w:ind w:left="72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zakoupí v jakémkoliv kamenném obchodě nebo na e-shopu v místě konání akce alespoň 1 kus jakéhokoliv výrobku pořadatele prodávaného pod značkou RIO MARE (dále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akční výrobek</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(dále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akční nákup</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uchová si daňový doklad – účtenku koncového spotřebitele z elektronické pokladny či fakturu koncového spotřebitele dokumentující tento akční nákup (dále společně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účtenka</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z účtenky tedy musí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jednoznačně vyplývat, že účastník zakoupil v době od 1. 7. 2025 do 31. 8. 2025</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 v místě konání akce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alespoň 1 kus výrobku značky RIO MARE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1" w:before="0" w:line="240" w:lineRule="auto"/>
        <w:ind w:left="72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následně účastník zaregistruje akční nákup akčního výrobku do akce prostřednictvím k tomu určeného formuláře na akčním webu </w:t>
      </w:r>
      <w:r w:rsidDel="00000000" w:rsidR="00000000" w:rsidRPr="00000000">
        <w:rPr>
          <w:rFonts w:ascii="Calibri" w:cs="Calibri" w:eastAsia="Calibri" w:hAnsi="Calibri"/>
          <w:b w:val="0"/>
          <w:i w:val="0"/>
          <w:smallCaps w:val="0"/>
          <w:strike w:val="0"/>
          <w:color w:val="0000ff"/>
          <w:sz w:val="23"/>
          <w:szCs w:val="23"/>
          <w:u w:val="none"/>
          <w:shd w:fill="auto" w:val="clear"/>
          <w:vertAlign w:val="baseline"/>
          <w:rtl w:val="0"/>
        </w:rPr>
        <w:t xml:space="preserve">www.riomare.cz/soutez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kde uvede svou platnou e-mailovou adresu, telefonní kontakt, číslo dokladu o koupi, datum akčního nákupu uvedený na účtence;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1" w:before="0" w:line="240" w:lineRule="auto"/>
        <w:ind w:left="72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 dokončení registrace je účastník povinen vyplněný formulář prostřednictvím odpovídající ikony potvrdit a odeslat a před tím potvrdit zaškrtnutím příslušných políček souhlas s těmito soutěžními pravidly zahrnující souhlas se zpracováním údajů za účelem dle čl. 7. Potvrdí, že je osobou starší 18 let / případně, že disponuje souhlasem svého zákonného zástupce, a svůj zájem zapojit se do akce, zároveň souhlasí s podmínkami GDPR;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pokud bude účastník vylosován, bude mu zaslán odkaz na webový formulář, kam vloží digitální kopii (scan/fotografii) čitelné, celé a neporušené účtenky dokumentující předmětný akční nákup s čitelným označením akčního výrobku.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Do slosování je zařazena každá řádná registrace akčního nákupu (resp. registrace akčního nákupu alespoň 1 kusu akčního výrobku je zařazena 1krát do akce). Jednu akční účtenku je tak možné v akci použít pouze jednou. Akční nákup však musí být učiněn před okamžikem registrace účtenky. V případě, že účtenka prokazuje nákup více akčních výrobků se k nákupu ostatních akčních výrobků nepřihlíží.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Účastník si uchová veškeré účtenky prokazující provedení nákupu akčních výrobků, se kterými se účastník do akce zapojil. Předložení účtenek může být organizátorem kdykoliv vyžadováno, a to i dodatečně po ukončení akce za účelem kontroly účasti v akci, ale i pro případné prokázání nároku na výhru.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Výherci budou určeni losováním pomocí počítačového algoritmu.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Účastník se může akce účastnit jen s jednou e-mailovou adresou</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Účtenky jsou spojeny s jeho e-mailovou adresou. V případě snahy o opakovanou účast pod různými e-mailovými adresami může být účastník vyloučen bez dalšího varování z akce. Každý účastník se může akce zúčastnit opakovaně prostřednictvím opakovaného akčního nákupu, vždy však pouze při splnění všech podmínek účasti dle těchto pravidel a vždy je povinen uvést stejnou e-mailovou adresu. Každý takto zaregistrovaný nákup akčního výrobku bude brán jako samostatný vstup, tj. čím více akčních nákupů akčních výrobků účastník v rámci akce zaregistruje, tím větší má šanci na získání výhry. Prostřednictvím jedné účtenky je však možné se zaregistrovat pouze jednou (viz výše).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 případě, že se do akce v době jejího konání platně nezapojí takový počet soutěžících, aby mohly být rozděleny veškeré výhry vložené do akce, pak nerozdané výhry propadají ve prospěch pořadatele, který je oprávněn rozhodnout o jejich dalším užití.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Povinnost soutěžících uschovat, a případně také na vyzvání předložit, originály účtenek za účelem ověření platné účasti v akci, je jednou ze základních podmínek účasti v této akci. Všechny takto organizátorovi či pořadateli předkládané originály účtenek musí prokazovat nákup akčního výrobku v souladu s těmito pravidly, být čitelné, celé a neporušené. Pokud soutěžící nepředloží na vyzvání ve formě jejich originálu pořadateli či organizátorovi veškeré požadované účtenky, se kterými se účastnil akce a které prokazují řádné provedení akčních nákupů v počtu shodném s počtem zapojení se do akce (resp. předloží jiné účtenky než ty, jejichž data byla do akce odeslána, či nečitelné, duplicitní atp.), bude z akce vyřazen a ztrácí nárok na výhru. V takovém případě výhra propadá bez jakékoli náhrady ve prospěch pořadatele, který je oprávněn rozhodnout o jejím dalším užití.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numPr>
          <w:ilvl w:val="0"/>
          <w:numId w:val="1"/>
        </w:numPr>
        <w:tabs>
          <w:tab w:val="left" w:leader="none" w:pos="477"/>
        </w:tabs>
        <w:ind w:left="477" w:hanging="36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Výhry a určení výherců</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11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Do akce je vloženo celkem:</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spacing w:line="261" w:lineRule="auto"/>
        <w:ind w:left="116" w:right="111" w:firstLine="0"/>
        <w:jc w:val="both"/>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45x Horkovzdušná fritéza od Sencor v hodnotě 3499 Kč</w:t>
      </w:r>
    </w:p>
    <w:p w:rsidR="00000000" w:rsidDel="00000000" w:rsidP="00000000" w:rsidRDefault="00000000" w:rsidRPr="00000000" w14:paraId="0000002D">
      <w:pPr>
        <w:spacing w:line="261" w:lineRule="auto"/>
        <w:ind w:left="116" w:right="111" w:firstLine="0"/>
        <w:jc w:val="both"/>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62x Smoothie maker od Sencor v hodnotě 999 Kč</w:t>
      </w:r>
    </w:p>
    <w:p w:rsidR="00000000" w:rsidDel="00000000" w:rsidP="00000000" w:rsidRDefault="00000000" w:rsidRPr="00000000" w14:paraId="0000002E">
      <w:pPr>
        <w:spacing w:line="261" w:lineRule="auto"/>
        <w:ind w:left="116" w:right="111" w:firstLine="0"/>
        <w:jc w:val="both"/>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2F">
      <w:pPr>
        <w:spacing w:line="261" w:lineRule="auto"/>
        <w:ind w:left="116" w:right="111" w:firstLine="0"/>
        <w:jc w:val="both"/>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(dále jen „výhra“)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b w:val="1"/>
          <w:color w:val="000000"/>
          <w:sz w:val="23"/>
          <w:szCs w:val="23"/>
        </w:rPr>
      </w:pPr>
      <w:r w:rsidDel="00000000" w:rsidR="00000000" w:rsidRPr="00000000">
        <w:rPr>
          <w:rFonts w:ascii="Calibri" w:cs="Calibri" w:eastAsia="Calibri" w:hAnsi="Calibri"/>
          <w:color w:val="000000"/>
          <w:sz w:val="23"/>
          <w:szCs w:val="23"/>
          <w:rtl w:val="0"/>
        </w:rPr>
        <w:t xml:space="preserve">Každý spotřebitel může v době trvání akce vyhrát maximálně jednou. V případě opakovaného vylosování výherce se k jeho opakovanému vylosování nepřihlíží a losování se opakuje. Po dobu soutěže bude vylosováno </w:t>
      </w:r>
      <w:r w:rsidDel="00000000" w:rsidR="00000000" w:rsidRPr="00000000">
        <w:rPr>
          <w:rFonts w:ascii="Calibri" w:cs="Calibri" w:eastAsia="Calibri" w:hAnsi="Calibri"/>
          <w:b w:val="1"/>
          <w:color w:val="000000"/>
          <w:sz w:val="23"/>
          <w:szCs w:val="23"/>
          <w:rtl w:val="0"/>
        </w:rPr>
        <w:t xml:space="preserve">107 výherců, kteří vyhrávají právě jeden kus výhry, tedy 45x </w:t>
      </w:r>
      <w:r w:rsidDel="00000000" w:rsidR="00000000" w:rsidRPr="00000000">
        <w:rPr>
          <w:rFonts w:ascii="Calibri" w:cs="Calibri" w:eastAsia="Calibri" w:hAnsi="Calibri"/>
          <w:b w:val="1"/>
          <w:color w:val="000000"/>
          <w:sz w:val="23"/>
          <w:szCs w:val="23"/>
          <w:highlight w:val="white"/>
          <w:rtl w:val="0"/>
        </w:rPr>
        <w:t xml:space="preserve">horkovzdušnou fritézu od značky SENCOR</w:t>
      </w:r>
      <w:r w:rsidDel="00000000" w:rsidR="00000000" w:rsidRPr="00000000">
        <w:rPr>
          <w:rFonts w:ascii="Calibri" w:cs="Calibri" w:eastAsia="Calibri" w:hAnsi="Calibri"/>
          <w:b w:val="1"/>
          <w:color w:val="000000"/>
          <w:sz w:val="20"/>
          <w:szCs w:val="20"/>
          <w:highlight w:val="white"/>
          <w:rtl w:val="0"/>
        </w:rPr>
        <w:t xml:space="preserve"> a </w:t>
      </w:r>
      <w:r w:rsidDel="00000000" w:rsidR="00000000" w:rsidRPr="00000000">
        <w:rPr>
          <w:rFonts w:ascii="Calibri" w:cs="Calibri" w:eastAsia="Calibri" w:hAnsi="Calibri"/>
          <w:b w:val="1"/>
          <w:color w:val="000000"/>
          <w:sz w:val="23"/>
          <w:szCs w:val="23"/>
          <w:rtl w:val="0"/>
        </w:rPr>
        <w:t xml:space="preserve">62x smoothie maker od značky SENCOR.</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Losování výher proběhne 9x za dobu konání akce a to 7. 7. 2025; 14. 7. 2025; 21. 7. 2025; 28. 7. 2025, 4. 8. 2025, 11. 8. 2025, 18. 8. 2025, 25. 8. 2025 a 1. 9. 2025. Při losování, které proběhne 7. 7. 2025; 14. 7. 2025; 21. 7. 2025; 28. 7. 2025, 4. 8. 2025, 11. 8. 2025, 18. 8. 2025, 25. 8. 2025 se vylosuje 12 výherců, z nichž 7 výherců obdrží smoothie maker od značky SENCOR a 5 výherců obdrží horkovzdušnou fritézu od značky SENCOR. Při losování, které proběhne 1. 9. 2025 se vylosuje 11 výherců, z nichž 6 výherců obdrží smoothie maker od značky SENCOR a 5 výherců obdrží horkovzdušnou fritézu od značky SENCOR.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spacing w:line="261" w:lineRule="auto"/>
        <w:ind w:right="110" w:firstLine="11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Každému z výherců bude po vylosování a schválení zadané účtenky organizátorem zaslán informační e-mail s oznámením o výhře, a to na e-mailovou adresu zadanou při registraci do akce s výzvou, aby ve formuláři na zaslaném odkazu nejpozději do 3 pracovních dnů vyplnil: své jméno, příjmení, své telefonní číslo a potvrdil svůj e-mail pro doručení výhry. Výhra bude výherci zaslána přes doručovací společnost, a to na adresu, kterou uvede do odpovědního emailu, do 30 dnů od ukončení soutěže a ověření nároku na výhru. Převzetí výhry je výherce povinen potvrdit podpisem předávacího protokolu. Neposkytnutí součinnosti pro možnost předání výhry případně odmítnutí převzetí výhry či podpisu předávacího protokolu má za účinek ztráty nároku na výhru a výhra propadá pořadateli.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numPr>
          <w:ilvl w:val="0"/>
          <w:numId w:val="1"/>
        </w:numPr>
        <w:tabs>
          <w:tab w:val="left" w:leader="none" w:pos="477"/>
        </w:tabs>
        <w:ind w:left="477" w:hanging="36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Zpracování osobních údajů</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Účastí v této akci účastník uděluje souhlas se zpracováním jím poskytnutých osobních údajů pro účel realizace této akce dle těchto pravidel, tj. s jejich odpovídajícím zpracováním ze strany pořadatele, resp. společnosti BOLTON CZECHIA, spol. s r. o., se sídlem Štětkova 1638/18, Nusle, 140 00 Praha 4, IČO: 15526381, který je správcem (dále také jen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správce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 to v rozsahu: e-mailová adresa, údaj o věku nad 15 let, účtenka, údaje o akci, registrace (datum, čas, IP adresa, zařízení), a v případě výhry i další identifikační a kontaktní údaje: jméno, příjmení, telefonní číslo, případný údaj o získání výhry a nezbytná komunikace.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Osobní údaje budou užity pro účel vedení a realizace této akce zahrnující zařazení do databáze pro danou akci, organizaci a vyhodnocení akce, a zaslání a předání výher.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Právním titulem zpracování je souhlas a po skončení akce též oprávněný zájem správce, popřípadě plnění zákonných povinností správce.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Doba zpracování je doba konání akce, resp. doba nezbytná pro realizaci/předání výher a doba v délce 60 dnů po skončení akce, a dále pro některé kategorie osobních údajů doba 3 let po skončení akce pro účely ochrany práv správce u vybraných důležitých dokumentů (z důvodu případné kontroly ze strany orgánu dozoru, obrany proti tvrzeným nárokům, vymáhání pohledávek). Případně do odvolání souhlasu. Odvoláním souhlasu končí účast v akci. Pokud je souhlas odvolán, bude zpracováván pouze omezený rozsah údajů po omezenou dobu tří let pro účely ochrany práv správce (z důvodu případné kontroly ze strany orgánu dozoru, obrany proti tvrzeným nárokům, vymáhání pohledávek) z titulu oprávněného zájmu pořadatele.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Způsob prováděného zpracování je elektronický, ruční a částečně automatizovaný.</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Údaje poskytnuté účastníkem mohou kromě správce zpracovávat jakožto zpracovatel marketingové společnosti pověřené správcem, a to způsobem obvyklým pro zajišťování akcí, zejména organizátor akce, doručovatelské společnosti, dodavatelé IT služeb a účetní, daňoví a právní poradci. Osobní údaje nebudou předávány mimo Evropskou unii.</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Účastník může kdykoliv svůj souhlas se zpracováním osobních údajů odvolat na kontaktu </w:t>
      </w:r>
      <w:hyperlink r:id="rId8">
        <w:r w:rsidDel="00000000" w:rsidR="00000000" w:rsidRPr="00000000">
          <w:rPr>
            <w:rFonts w:ascii="Calibri" w:cs="Calibri" w:eastAsia="Calibri" w:hAnsi="Calibri"/>
            <w:b w:val="0"/>
            <w:i w:val="0"/>
            <w:smallCaps w:val="0"/>
            <w:strike w:val="0"/>
            <w:color w:val="0000ff"/>
            <w:sz w:val="23"/>
            <w:szCs w:val="23"/>
            <w:u w:val="single"/>
            <w:shd w:fill="auto" w:val="clear"/>
            <w:vertAlign w:val="baseline"/>
            <w:rtl w:val="0"/>
          </w:rPr>
          <w:t xml:space="preserve">riomaresoutez@ev-pr.cz</w:t>
        </w:r>
      </w:hyperlink>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kde je možné uplatnit také ostatní práva účastníka související se zpracováním osobních údajů. Odvoláním souhlasu však končí zapojení účastníka do akce. V případě pochybností o dodržování práv se může účastník obrátit na správce na jeho adrese nebo na e-mailu </w:t>
      </w:r>
      <w:hyperlink r:id="rId9">
        <w:r w:rsidDel="00000000" w:rsidR="00000000" w:rsidRPr="00000000">
          <w:rPr>
            <w:rFonts w:ascii="Calibri" w:cs="Calibri" w:eastAsia="Calibri" w:hAnsi="Calibri"/>
            <w:b w:val="0"/>
            <w:i w:val="0"/>
            <w:smallCaps w:val="0"/>
            <w:strike w:val="0"/>
            <w:color w:val="0000ff"/>
            <w:sz w:val="23"/>
            <w:szCs w:val="23"/>
            <w:u w:val="single"/>
            <w:shd w:fill="auto" w:val="clear"/>
            <w:vertAlign w:val="baseline"/>
            <w:rtl w:val="0"/>
          </w:rPr>
          <w:t xml:space="preserve">riomaresoutez@ev-pr.cz</w:t>
        </w:r>
      </w:hyperlink>
      <w:hyperlink r:id="rId10">
        <w:r w:rsidDel="00000000" w:rsidR="00000000" w:rsidRPr="00000000">
          <w:rPr>
            <w:rFonts w:ascii="Calibri" w:cs="Calibri" w:eastAsia="Calibri" w:hAnsi="Calibri"/>
            <w:b w:val="0"/>
            <w:i w:val="0"/>
            <w:smallCaps w:val="0"/>
            <w:strike w:val="0"/>
            <w:color w:val="0000ff"/>
            <w:sz w:val="23"/>
            <w:szCs w:val="23"/>
            <w:u w:val="singl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Na tomto e-mailu může účastník podat ke správci námitky, žádosti, stížnosti či jiné dotazy. Dozorovým orgánem je Úřad pro ochranu osobních údajů, ke kterému může účastník podat stížnost </w:t>
      </w:r>
      <w:r w:rsidDel="00000000" w:rsidR="00000000" w:rsidRPr="00000000">
        <w:rPr>
          <w:rFonts w:ascii="Calibri" w:cs="Calibri" w:eastAsia="Calibri" w:hAnsi="Calibri"/>
          <w:b w:val="0"/>
          <w:i w:val="0"/>
          <w:smallCaps w:val="0"/>
          <w:strike w:val="0"/>
          <w:color w:val="4472c4"/>
          <w:sz w:val="23"/>
          <w:szCs w:val="23"/>
          <w:u w:val="none"/>
          <w:shd w:fill="auto" w:val="clear"/>
          <w:vertAlign w:val="baseline"/>
          <w:rtl w:val="0"/>
        </w:rPr>
        <w:t xml:space="preserve">(www.uoou.cz).</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74"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Soutěžící svojí účastí výslovně souhlasí s tím, že pořadatel je oprávněn užít v souladu s ust. § 77 a násl. zákona č. 89/2012 Sb., občanského zákoníku, ve znění pozdějších předpisů, bezplatně jméno, počáteční písmeno příjmení a město bydliště soutěžícího v médiích (včetně internetu), propagačních a reklamních materiálech pořadatele v souvislosti s touto akcí a v souvislosti s propagací výrobků a služeb pořadatele, s tím, že mohou být pořizovány a zveřejňovány výše uvedeným způsobem i zvukové a obrazové záznamy soutěžících a soutěžící pro případ výhry výslovně souhlasí s pořízením a zveřejněním jeho podobenky za obvyklých podmínek takových soutěží. Souhlas dle tohoto odstavce je činěn po dobu 3 let od ukončení akce.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Účastník bere na vědomí, že má práva dle příslušné právní úpravy, tj. zejména účastník bere na vědomí, že poskytnutí údajů je dobrovolné, zpracování je transparentní, účastník má právo na informace a přístupu k osobním údajům a právo na opravu svých osobních údajů, blokování nesprávných osobních údajů, omezení zpracování, výmaz a jejich likvidaci, jakož i právo na přenositelnost údajů, právo být zapomenut a právo na námitky proti zpracování založené na oprávněném zájmu. Účastník nebude předmětem rozhodnutí založeného na automatizovaném zpracování, které má pro něj právní účinky nebo se jej významně dotýká.</w:t>
      </w:r>
    </w:p>
    <w:p w:rsidR="00000000" w:rsidDel="00000000" w:rsidP="00000000" w:rsidRDefault="00000000" w:rsidRPr="00000000" w14:paraId="00000047">
      <w:pPr>
        <w:pStyle w:val="Heading1"/>
        <w:numPr>
          <w:ilvl w:val="0"/>
          <w:numId w:val="1"/>
        </w:numPr>
        <w:tabs>
          <w:tab w:val="left" w:leader="none" w:pos="509"/>
          <w:tab w:val="left" w:leader="none" w:pos="510"/>
        </w:tabs>
        <w:ind w:left="510" w:hanging="394"/>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Obecná ustanovení</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Účastí na akci projevuje každý účastník svůj souhlas s jejími pravidly a zavazuje se tato pravidla bezvýhradně dodržovat. Pravidla a tato akce se řídí právním řádem České republiky.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Organizátor ani pořadatel nenesou žádnou odpovědnost za jakákoli rizika a závazky související s účastí v akci, či užíváním výher a neodpovídají za jakoukoliv újmu, která případně účastníkovi nebo třetí osobě vznikne v souvislosti s účastní v akci či v souvislosti s užíváním výher.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Výhry není možné alternativně vyplatit v hotovosti ani v jiném plnění. Organizátor a pořadatel tímto nejsou účastníkům nijak jinak zavázáni a ti nemají nárok na jakákoliv jiná plnění ze strany organizátora a pořadatele, než jsou uvedena v těchto pravidlech. Za škody/vady spojené s užíváním výhry nenese organizátor ani pořadatel akce žádnou odpovědnost. Výhru není možné reklamovat. Účast na akci ani výhry není možné vymáhat soudní cestou.</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Výhry, které nebylo možné v akci přidělit konkrétnímu výherci, či výhry, které se nepodařilo předat, propadají ve prospěch pořadatele. V případě, že se organizátorovi akce nepodaří do 14 kalendářních dnů od ukončení akce s výhercem uvedeným způsobem opakovaně spojit, výherce nezašle své kontaktní údaje ve stanovené lhůtě nebo se mu nepodaří výhru předat, propadá tato výhra pořadateli, který je oprávněn rozhodnout o jejím užití.</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Osoby nesplňující podmínky účasti na akci nebo jednající v rozporu s těmito pravidly akce nebudou do akce zařazeny. Pořadatel si vyhrazuje právo konečného posouzení splnění či nesplnění podmínek stanovených pro získání výher v rámci akce. I pokud taková osoba splní některé podmínky pro získání výher, např. v důsledku nepravdivých informací, které poskytla, nestává se výhercem a nemá nárok na získání výhry. Výhra v takovém případě propadá pořadateli akce, který je oprávněn rozhodnout o jejím dalším užití. Účastník bude vyloučen v případě, že organizátor zjistí nebo bude mít oprávněné podezření na spáchání podvodného nebo nekalého jednání ze strany některého z účastníků či jiné osoby, která dopomohla danému účastníkovi k získání výhry.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Organizátor a pořadatel si vyhrazují právo nahradit deklarované výhry, výhry obdobného typu a odpovídající hodnoty a měnit podmínky předávání výher v případě, že jim výhry nebudou poskytnuty tak, aby mohly být výhercům předány v souladu s pravidly akce.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Organizátor ani pořadatel akce neodpovídá za jakékoliv technické problémy v souvislosti s účastí na této akci (především funkčnost sítě, resp. akčního webu). Organizátor ani pořadatel neodpovídá za doručení zpráv (např. informace o výhře, výzva k zaslání účtenky) včetně informace o získání výhry (pozor na spamovou poštu).</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 případě rozporu ustanovení těchto pravidel a propagačních materiálů týkajících se akce, nejasností týkajících se výkladu pravidel nebo propagačních materiálů, se budou aplikovat přednostně příslušná ustanovení těchto pravidel.</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spacing w:line="271" w:lineRule="auto"/>
        <w:ind w:right="111" w:firstLine="11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Organizátor a pořadatel si vyhrazují právo akci zkrátit, přerušit nebo bez náhrady zrušit či změnit její pravidla. V případě, že dojde ke změnám v podmínkách a pravidlech akce, bude toto učiněno písemně ve formě dodatku.</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Výherce bere na vědomí, že výhra podléhá srážkové dani dle příslušných právních předpisů České republiky. Srážkovou daň se zavazuje odvést pořadatel. Pokud výherce není daňový rezident České republiky, má povinnost doložit pořadateli svůj daňový domicil do 5 dnů od potvrzení výhry v akci. Pokud tak neučiní, pořadatel srazí a odvede daň ve výši 15 % z výhry (v případě, že není od daně osvobozena) v České republice.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Věcně příslušným subjektem mimosoudního řešení spotřebitelských sporů souvisejících se akcí je Česká obchodní inspekce, Štěpánská 567/15, 120 00 Praha 2, internetové stránky: </w:t>
      </w:r>
      <w:hyperlink r:id="rId11">
        <w:r w:rsidDel="00000000" w:rsidR="00000000" w:rsidRPr="00000000">
          <w:rPr>
            <w:rFonts w:ascii="Calibri" w:cs="Calibri" w:eastAsia="Calibri" w:hAnsi="Calibri"/>
            <w:b w:val="0"/>
            <w:i w:val="0"/>
            <w:smallCaps w:val="0"/>
            <w:strike w:val="0"/>
            <w:color w:val="0563c1"/>
            <w:sz w:val="23"/>
            <w:szCs w:val="23"/>
            <w:u w:val="none"/>
            <w:shd w:fill="auto" w:val="clear"/>
            <w:vertAlign w:val="baseline"/>
            <w:rtl w:val="0"/>
          </w:rPr>
          <w:t xml:space="preserve">www.coi.cz</w:t>
        </w:r>
      </w:hyperlink>
      <w:hyperlink r:id="rId12">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Účastník zde nalezne mimo jiné údaje o způsobu a podmínkách mimosoudních řešení sporů, když toto řízení může být zahájeno pouze na základě návrhu účastníka a poté, když se mu nepodaří spor vyřešit přímo s pořadatelem. Formulář návrhu na zahájení řízení o mimosoudním řešení spotřebitelského sporu je dostupný na internetových stránkách České obchodní inspekce.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6" w:right="111"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Úplná pravidla akce jsou k dispozici na internetových stránkách </w:t>
      </w:r>
      <w:r w:rsidDel="00000000" w:rsidR="00000000" w:rsidRPr="00000000">
        <w:rPr>
          <w:rFonts w:ascii="Calibri" w:cs="Calibri" w:eastAsia="Calibri" w:hAnsi="Calibri"/>
          <w:b w:val="0"/>
          <w:i w:val="0"/>
          <w:smallCaps w:val="0"/>
          <w:strike w:val="0"/>
          <w:color w:val="1154cc"/>
          <w:sz w:val="23"/>
          <w:szCs w:val="23"/>
          <w:u w:val="none"/>
          <w:shd w:fill="auto" w:val="clear"/>
          <w:vertAlign w:val="baseline"/>
          <w:rtl w:val="0"/>
        </w:rPr>
        <w:t xml:space="preserve">www.riomare.cz/soutez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2" w:lineRule="auto"/>
        <w:ind w:left="116" w:right="1465"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 Praze dne 1. 7. 2025</w:t>
      </w:r>
    </w:p>
    <w:sectPr>
      <w:pgSz w:h="16840" w:w="11900" w:orient="portrait"/>
      <w:pgMar w:bottom="280" w:top="1320" w:left="1300" w:right="10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77" w:hanging="360"/>
      </w:pPr>
      <w:rPr/>
    </w:lvl>
    <w:lvl w:ilvl="1">
      <w:start w:val="1"/>
      <w:numFmt w:val="lowerLetter"/>
      <w:lvlText w:val="%2)"/>
      <w:lvlJc w:val="left"/>
      <w:pPr>
        <w:ind w:left="461" w:hanging="344"/>
      </w:pPr>
      <w:rPr>
        <w:rFonts w:ascii="Times New Roman" w:cs="Times New Roman" w:eastAsia="Times New Roman" w:hAnsi="Times New Roman"/>
        <w:b w:val="0"/>
        <w:i w:val="0"/>
        <w:sz w:val="22"/>
        <w:szCs w:val="22"/>
      </w:rPr>
    </w:lvl>
    <w:lvl w:ilvl="2">
      <w:start w:val="0"/>
      <w:numFmt w:val="bullet"/>
      <w:lvlText w:val="•"/>
      <w:lvlJc w:val="left"/>
      <w:pPr>
        <w:ind w:left="1491" w:hanging="344"/>
      </w:pPr>
      <w:rPr/>
    </w:lvl>
    <w:lvl w:ilvl="3">
      <w:start w:val="0"/>
      <w:numFmt w:val="bullet"/>
      <w:lvlText w:val="•"/>
      <w:lvlJc w:val="left"/>
      <w:pPr>
        <w:ind w:left="2502" w:hanging="344"/>
      </w:pPr>
      <w:rPr/>
    </w:lvl>
    <w:lvl w:ilvl="4">
      <w:start w:val="0"/>
      <w:numFmt w:val="bullet"/>
      <w:lvlText w:val="•"/>
      <w:lvlJc w:val="left"/>
      <w:pPr>
        <w:ind w:left="3513" w:hanging="343.99999999999955"/>
      </w:pPr>
      <w:rPr/>
    </w:lvl>
    <w:lvl w:ilvl="5">
      <w:start w:val="0"/>
      <w:numFmt w:val="bullet"/>
      <w:lvlText w:val="•"/>
      <w:lvlJc w:val="left"/>
      <w:pPr>
        <w:ind w:left="4524" w:hanging="344"/>
      </w:pPr>
      <w:rPr/>
    </w:lvl>
    <w:lvl w:ilvl="6">
      <w:start w:val="0"/>
      <w:numFmt w:val="bullet"/>
      <w:lvlText w:val="•"/>
      <w:lvlJc w:val="left"/>
      <w:pPr>
        <w:ind w:left="5535" w:hanging="344"/>
      </w:pPr>
      <w:rPr/>
    </w:lvl>
    <w:lvl w:ilvl="7">
      <w:start w:val="0"/>
      <w:numFmt w:val="bullet"/>
      <w:lvlText w:val="•"/>
      <w:lvlJc w:val="left"/>
      <w:pPr>
        <w:ind w:left="6546" w:hanging="344"/>
      </w:pPr>
      <w:rPr/>
    </w:lvl>
    <w:lvl w:ilvl="8">
      <w:start w:val="0"/>
      <w:numFmt w:val="bullet"/>
      <w:lvlText w:val="•"/>
      <w:lvlJc w:val="left"/>
      <w:pPr>
        <w:ind w:left="7557" w:hanging="343.9999999999991"/>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6"/>
      <w:jc w:val="both"/>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Pr>
      <w:rFonts w:ascii="Times New Roman" w:cs="Times New Roman" w:eastAsia="Times New Roman" w:hAnsi="Times New Roman"/>
      <w:lang w:val="cs-CZ"/>
    </w:rPr>
  </w:style>
  <w:style w:type="paragraph" w:styleId="Nadpis1">
    <w:name w:val="heading 1"/>
    <w:basedOn w:val="Normln"/>
    <w:uiPriority w:val="9"/>
    <w:qFormat w:val="1"/>
    <w:pPr>
      <w:ind w:left="116"/>
      <w:jc w:val="both"/>
      <w:outlineLvl w:val="0"/>
    </w:pPr>
    <w:rPr>
      <w:b w:val="1"/>
      <w:bCs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Zkladntext">
    <w:name w:val="Body Text"/>
    <w:basedOn w:val="Normln"/>
    <w:uiPriority w:val="1"/>
    <w:qFormat w:val="1"/>
  </w:style>
  <w:style w:type="paragraph" w:styleId="Odstavecseseznamem">
    <w:name w:val="List Paragraph"/>
    <w:basedOn w:val="Normln"/>
    <w:uiPriority w:val="1"/>
    <w:qFormat w:val="1"/>
    <w:pPr>
      <w:ind w:left="477" w:hanging="361"/>
      <w:jc w:val="both"/>
    </w:pPr>
  </w:style>
  <w:style w:type="paragraph" w:styleId="TableParagraph" w:customStyle="1">
    <w:name w:val="Table Paragraph"/>
    <w:basedOn w:val="Normln"/>
    <w:uiPriority w:val="1"/>
    <w:qFormat w:val="1"/>
  </w:style>
  <w:style w:type="character" w:styleId="Hypertextovodkaz">
    <w:name w:val="Hyperlink"/>
    <w:basedOn w:val="Standardnpsmoodstavce"/>
    <w:uiPriority w:val="99"/>
    <w:unhideWhenUsed w:val="1"/>
    <w:rsid w:val="005629A3"/>
    <w:rPr>
      <w:color w:val="0000ff" w:themeColor="hyperlink"/>
      <w:u w:val="single"/>
    </w:rPr>
  </w:style>
  <w:style w:type="character" w:styleId="Nevyeenzmnka">
    <w:name w:val="Unresolved Mention"/>
    <w:basedOn w:val="Standardnpsmoodstavce"/>
    <w:uiPriority w:val="99"/>
    <w:semiHidden w:val="1"/>
    <w:unhideWhenUsed w:val="1"/>
    <w:rsid w:val="005629A3"/>
    <w:rPr>
      <w:color w:val="605e5c"/>
      <w:shd w:color="auto" w:fill="e1dfdd" w:val="clear"/>
    </w:rPr>
  </w:style>
  <w:style w:type="paragraph" w:styleId="Revize">
    <w:name w:val="Revision"/>
    <w:hidden w:val="1"/>
    <w:uiPriority w:val="99"/>
    <w:semiHidden w:val="1"/>
    <w:rsid w:val="004F2499"/>
    <w:pPr>
      <w:widowControl w:val="1"/>
      <w:autoSpaceDE w:val="1"/>
      <w:autoSpaceDN w:val="1"/>
    </w:pPr>
    <w:rPr>
      <w:rFonts w:ascii="Times New Roman" w:cs="Times New Roman" w:eastAsia="Times New Roman" w:hAnsi="Times New Roman"/>
      <w:lang w:val="cs-CZ"/>
    </w:rPr>
  </w:style>
  <w:style w:type="character" w:styleId="Odkaznakoment">
    <w:name w:val="annotation reference"/>
    <w:basedOn w:val="Standardnpsmoodstavce"/>
    <w:uiPriority w:val="99"/>
    <w:semiHidden w:val="1"/>
    <w:unhideWhenUsed w:val="1"/>
    <w:rsid w:val="00333C35"/>
    <w:rPr>
      <w:sz w:val="16"/>
      <w:szCs w:val="16"/>
    </w:rPr>
  </w:style>
  <w:style w:type="paragraph" w:styleId="Textkomente">
    <w:name w:val="annotation text"/>
    <w:basedOn w:val="Normln"/>
    <w:link w:val="TextkomenteChar"/>
    <w:uiPriority w:val="99"/>
    <w:unhideWhenUsed w:val="1"/>
    <w:rsid w:val="00333C35"/>
    <w:rPr>
      <w:sz w:val="20"/>
      <w:szCs w:val="20"/>
    </w:rPr>
  </w:style>
  <w:style w:type="character" w:styleId="TextkomenteChar" w:customStyle="1">
    <w:name w:val="Text komentáře Char"/>
    <w:basedOn w:val="Standardnpsmoodstavce"/>
    <w:link w:val="Textkomente"/>
    <w:uiPriority w:val="99"/>
    <w:rsid w:val="00333C35"/>
    <w:rPr>
      <w:rFonts w:ascii="Times New Roman" w:cs="Times New Roman" w:eastAsia="Times New Roman" w:hAnsi="Times New Roman"/>
      <w:sz w:val="20"/>
      <w:szCs w:val="20"/>
      <w:lang w:val="cs-CZ"/>
    </w:rPr>
  </w:style>
  <w:style w:type="paragraph" w:styleId="Pedmtkomente">
    <w:name w:val="annotation subject"/>
    <w:basedOn w:val="Textkomente"/>
    <w:next w:val="Textkomente"/>
    <w:link w:val="PedmtkomenteChar"/>
    <w:uiPriority w:val="99"/>
    <w:semiHidden w:val="1"/>
    <w:unhideWhenUsed w:val="1"/>
    <w:rsid w:val="00333C35"/>
    <w:rPr>
      <w:b w:val="1"/>
      <w:bCs w:val="1"/>
    </w:rPr>
  </w:style>
  <w:style w:type="character" w:styleId="PedmtkomenteChar" w:customStyle="1">
    <w:name w:val="Předmět komentáře Char"/>
    <w:basedOn w:val="TextkomenteChar"/>
    <w:link w:val="Pedmtkomente"/>
    <w:uiPriority w:val="99"/>
    <w:semiHidden w:val="1"/>
    <w:rsid w:val="00333C35"/>
    <w:rPr>
      <w:rFonts w:ascii="Times New Roman" w:cs="Times New Roman" w:eastAsia="Times New Roman" w:hAnsi="Times New Roman"/>
      <w:b w:val="1"/>
      <w:bCs w:val="1"/>
      <w:sz w:val="20"/>
      <w:szCs w:val="20"/>
      <w:lang w:val="cs-CZ"/>
    </w:rPr>
  </w:style>
  <w:style w:type="paragraph" w:styleId="Default" w:customStyle="1">
    <w:name w:val="Default"/>
    <w:rsid w:val="004A0E74"/>
    <w:pPr>
      <w:widowControl w:val="1"/>
      <w:adjustRightInd w:val="0"/>
    </w:pPr>
    <w:rPr>
      <w:rFonts w:ascii="Calibri" w:cs="Calibri" w:hAnsi="Calibri"/>
      <w:color w:val="000000"/>
      <w:sz w:val="24"/>
      <w:szCs w:val="24"/>
      <w:lang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oi.cz/" TargetMode="External"/><Relationship Id="rId10" Type="http://schemas.openxmlformats.org/officeDocument/2006/relationships/hyperlink" Target="about:blank" TargetMode="External"/><Relationship Id="rId12" Type="http://schemas.openxmlformats.org/officeDocument/2006/relationships/hyperlink" Target="http://www.coi.cz/" TargetMode="External"/><Relationship Id="rId9" Type="http://schemas.openxmlformats.org/officeDocument/2006/relationships/hyperlink" Target="mailto:riomaresoutez@ev-pr.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iomare.cz/soutez%20" TargetMode="External"/><Relationship Id="rId8" Type="http://schemas.openxmlformats.org/officeDocument/2006/relationships/hyperlink" Target="mailto:riomaresoutez@ev-p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bpCE77PVwHGPIHEyy6MB2hzdwQ==">CgMxLjA4AHIhMUNOQzlwTVpfLTFjUzdWeTlvU05rM3FuUVhqM2p3M21T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2024-01-09T10:56:00Z</dcterms:created>
  <dc:creator>Karolína Pelikánová</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Pages</vt:lpwstr>
  </property>
  <property fmtid="{D5CDD505-2E9C-101B-9397-08002B2CF9AE}" pid="4" name="LastSaved">
    <vt:filetime>2023-05-19T00:00:00Z</vt:filetime>
  </property>
  <property fmtid="{D5CDD505-2E9C-101B-9397-08002B2CF9AE}" pid="5" name="Producer">
    <vt:lpwstr>macOS Version 11.3.1 (Build 20E241) Quartz PDFContext</vt:lpwstr>
  </property>
</Properties>
</file>